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BF91" w14:textId="77777777" w:rsidR="00A706BB" w:rsidRDefault="00000000">
      <w:pPr>
        <w:pStyle w:val="Heading1"/>
        <w:spacing w:before="80"/>
      </w:pPr>
      <w:r>
        <w:rPr>
          <w:u w:val="single"/>
        </w:rPr>
        <w:t>Health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5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Policy</w:t>
      </w:r>
    </w:p>
    <w:p w14:paraId="5814EA1A" w14:textId="77777777" w:rsidR="00A706BB" w:rsidRDefault="00000000">
      <w:pPr>
        <w:spacing w:before="199" w:line="415" w:lineRule="auto"/>
        <w:ind w:left="100" w:right="5613"/>
        <w:rPr>
          <w:b/>
          <w:sz w:val="24"/>
        </w:rPr>
      </w:pPr>
      <w:r>
        <w:rPr>
          <w:b/>
          <w:sz w:val="24"/>
        </w:rPr>
        <w:t>Health and Safety Work Act 1974 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is:</w:t>
      </w:r>
    </w:p>
    <w:p w14:paraId="3565CBC6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0" w:line="355" w:lineRule="auto"/>
        <w:ind w:right="856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risks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our work </w:t>
      </w:r>
      <w:proofErr w:type="gramStart"/>
      <w:r>
        <w:rPr>
          <w:sz w:val="24"/>
        </w:rPr>
        <w:t>activities;</w:t>
      </w:r>
      <w:proofErr w:type="gramEnd"/>
    </w:p>
    <w:p w14:paraId="1D474D17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7" w:line="355" w:lineRule="auto"/>
        <w:ind w:right="65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consult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visitors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affecting their health and </w:t>
      </w:r>
      <w:proofErr w:type="gramStart"/>
      <w:r>
        <w:rPr>
          <w:sz w:val="24"/>
        </w:rPr>
        <w:t>safety;</w:t>
      </w:r>
      <w:proofErr w:type="gramEnd"/>
    </w:p>
    <w:p w14:paraId="53651CE2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College;</w:t>
      </w:r>
      <w:proofErr w:type="gramEnd"/>
    </w:p>
    <w:p w14:paraId="6911E669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3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safe</w:t>
      </w:r>
      <w:r>
        <w:rPr>
          <w:spacing w:val="-6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substances</w:t>
      </w:r>
    </w:p>
    <w:p w14:paraId="6EC141F4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39" w:line="355" w:lineRule="auto"/>
        <w:ind w:right="674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students and visitors;</w:t>
      </w:r>
    </w:p>
    <w:p w14:paraId="070C187E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line="355" w:lineRule="auto"/>
        <w:ind w:right="67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tasks,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give them adequate </w:t>
      </w:r>
      <w:proofErr w:type="gramStart"/>
      <w:r>
        <w:rPr>
          <w:sz w:val="24"/>
        </w:rPr>
        <w:t>training;</w:t>
      </w:r>
      <w:proofErr w:type="gramEnd"/>
    </w:p>
    <w:p w14:paraId="76144E25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accidents</w:t>
      </w:r>
      <w:r>
        <w:rPr>
          <w:spacing w:val="-2"/>
          <w:sz w:val="24"/>
        </w:rPr>
        <w:t xml:space="preserve"> </w:t>
      </w:r>
      <w:r>
        <w:rPr>
          <w:sz w:val="24"/>
        </w:rPr>
        <w:t>and cases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ill </w:t>
      </w:r>
      <w:proofErr w:type="gramStart"/>
      <w:r>
        <w:rPr>
          <w:spacing w:val="-2"/>
          <w:sz w:val="24"/>
        </w:rPr>
        <w:t>health;</w:t>
      </w:r>
      <w:proofErr w:type="gramEnd"/>
    </w:p>
    <w:p w14:paraId="0406E060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6DA6AF7" w14:textId="77777777" w:rsidR="00A706BB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3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 and</w:t>
      </w:r>
      <w:r>
        <w:rPr>
          <w:spacing w:val="-1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intervals.</w:t>
      </w:r>
    </w:p>
    <w:p w14:paraId="54464006" w14:textId="77777777" w:rsidR="00A706BB" w:rsidRDefault="00A706BB">
      <w:pPr>
        <w:pStyle w:val="BodyText"/>
        <w:ind w:left="0"/>
        <w:rPr>
          <w:sz w:val="28"/>
        </w:rPr>
      </w:pPr>
    </w:p>
    <w:p w14:paraId="26130C29" w14:textId="77777777" w:rsidR="00A706BB" w:rsidRDefault="00A706BB">
      <w:pPr>
        <w:pStyle w:val="BodyText"/>
        <w:spacing w:before="4"/>
        <w:ind w:left="0"/>
        <w:rPr>
          <w:sz w:val="25"/>
        </w:rPr>
      </w:pPr>
    </w:p>
    <w:p w14:paraId="43C63C8A" w14:textId="77777777" w:rsidR="00A706BB" w:rsidRDefault="00000000">
      <w:pPr>
        <w:pStyle w:val="Heading1"/>
      </w:pPr>
      <w:r>
        <w:rPr>
          <w:u w:val="single"/>
        </w:rPr>
        <w:t>Health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5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Policy</w:t>
      </w:r>
    </w:p>
    <w:p w14:paraId="270D4417" w14:textId="77777777" w:rsidR="00A706BB" w:rsidRDefault="00000000">
      <w:pPr>
        <w:pStyle w:val="BodyText"/>
        <w:spacing w:before="199"/>
        <w:ind w:right="121"/>
        <w:jc w:val="both"/>
      </w:pP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College of</w:t>
      </w:r>
      <w:r>
        <w:rPr>
          <w:spacing w:val="-1"/>
        </w:rPr>
        <w:t xml:space="preserve"> </w:t>
      </w:r>
      <w:r>
        <w:t xml:space="preserve">Business </w:t>
      </w:r>
      <w:proofErr w:type="spellStart"/>
      <w:r>
        <w:t>realises</w:t>
      </w:r>
      <w:proofErr w:type="spellEnd"/>
      <w:r>
        <w:t xml:space="preserve"> and takes </w:t>
      </w:r>
      <w:proofErr w:type="gramStart"/>
      <w:r>
        <w:t>responsibilities</w:t>
      </w:r>
      <w:proofErr w:type="gramEnd"/>
      <w:r>
        <w:rPr>
          <w:spacing w:val="-1"/>
        </w:rPr>
        <w:t xml:space="preserve"> </w:t>
      </w:r>
      <w:r>
        <w:t>as an employer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supplying safe and</w:t>
      </w:r>
      <w:r>
        <w:rPr>
          <w:spacing w:val="-1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surroundings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College’s</w:t>
      </w:r>
      <w:r>
        <w:rPr>
          <w:spacing w:val="-2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proofErr w:type="gramStart"/>
      <w:r>
        <w:t>students</w:t>
      </w:r>
      <w:proofErr w:type="gramEnd"/>
      <w:r>
        <w:rPr>
          <w:spacing w:val="-1"/>
        </w:rPr>
        <w:t xml:space="preserve"> </w:t>
      </w:r>
      <w:r>
        <w:t>and its visitors.</w:t>
      </w:r>
    </w:p>
    <w:p w14:paraId="42F9E48C" w14:textId="77777777" w:rsidR="00A706BB" w:rsidRDefault="00000000">
      <w:pPr>
        <w:pStyle w:val="BodyText"/>
        <w:spacing w:before="199"/>
        <w:ind w:right="121"/>
        <w:jc w:val="both"/>
      </w:pPr>
      <w:r>
        <w:t xml:space="preserve">The UK College of Business will make every effort to </w:t>
      </w:r>
      <w:proofErr w:type="gramStart"/>
      <w:r>
        <w:t>make arrangements</w:t>
      </w:r>
      <w:proofErr w:type="gramEnd"/>
      <w:r>
        <w:t xml:space="preserve"> to ensure that all individuals on the premises understand the procedures and its Health and Safety policy.</w:t>
      </w:r>
    </w:p>
    <w:p w14:paraId="07C19F90" w14:textId="77777777" w:rsidR="00A706BB" w:rsidRDefault="00000000">
      <w:pPr>
        <w:pStyle w:val="BodyText"/>
        <w:spacing w:before="199"/>
        <w:ind w:right="113"/>
        <w:jc w:val="both"/>
      </w:pPr>
      <w:r>
        <w:t xml:space="preserve">A written assessment will be provided to assess health and safety risks to employees, </w:t>
      </w:r>
      <w:proofErr w:type="gramStart"/>
      <w:r>
        <w:t>students</w:t>
      </w:r>
      <w:proofErr w:type="gramEnd"/>
      <w:r>
        <w:t xml:space="preserve"> and visitors. All arrangements will be put into practice </w:t>
      </w:r>
      <w:proofErr w:type="gramStart"/>
      <w:r>
        <w:t>in order to</w:t>
      </w:r>
      <w:proofErr w:type="gramEnd"/>
      <w:r>
        <w:t xml:space="preserve"> prevent and mitigate the risks.</w:t>
      </w:r>
    </w:p>
    <w:p w14:paraId="2A12FC7B" w14:textId="77777777" w:rsidR="00A706BB" w:rsidRDefault="00000000">
      <w:pPr>
        <w:pStyle w:val="BodyText"/>
        <w:spacing w:before="202"/>
        <w:ind w:right="121"/>
        <w:jc w:val="both"/>
      </w:pPr>
      <w:r>
        <w:t xml:space="preserve">The Principal and Directors of the College are responsible for ensuring the overall implementation of </w:t>
      </w:r>
      <w:proofErr w:type="gramStart"/>
      <w:r>
        <w:t>UK</w:t>
      </w:r>
      <w:proofErr w:type="gramEnd"/>
      <w:r>
        <w:t xml:space="preserve"> College of Business health and safety policy and for ensuring the policy</w:t>
      </w:r>
      <w:r>
        <w:rPr>
          <w:spacing w:val="40"/>
        </w:rPr>
        <w:t xml:space="preserve"> </w:t>
      </w:r>
      <w:r>
        <w:t>is implemented effectively.</w:t>
      </w:r>
      <w:r>
        <w:rPr>
          <w:spacing w:val="40"/>
        </w:rPr>
        <w:t xml:space="preserve"> </w:t>
      </w:r>
      <w:r>
        <w:t xml:space="preserve">This ensures that the College is a safe environment for students, </w:t>
      </w:r>
      <w:proofErr w:type="gramStart"/>
      <w:r>
        <w:t>employees</w:t>
      </w:r>
      <w:proofErr w:type="gramEnd"/>
      <w:r>
        <w:t xml:space="preserve"> and visitors.</w:t>
      </w:r>
    </w:p>
    <w:p w14:paraId="356CB1C2" w14:textId="77777777" w:rsidR="00A706BB" w:rsidRDefault="00000000">
      <w:pPr>
        <w:pStyle w:val="BodyText"/>
        <w:spacing w:before="200"/>
        <w:ind w:right="120"/>
        <w:jc w:val="both"/>
      </w:pPr>
      <w:r>
        <w:t xml:space="preserve">The employees and students </w:t>
      </w:r>
      <w:proofErr w:type="gramStart"/>
      <w:r>
        <w:t>of</w:t>
      </w:r>
      <w:proofErr w:type="gramEnd"/>
      <w:r>
        <w:t xml:space="preserve"> the UK College of Business will be informed of the duties they should carry out under Section 7 of the Health and Safety at Work Act, in order to take care of their own safety and the safety of others within the College.</w:t>
      </w:r>
    </w:p>
    <w:p w14:paraId="25EC265C" w14:textId="77777777" w:rsidR="00A706BB" w:rsidRDefault="00A706BB">
      <w:pPr>
        <w:jc w:val="both"/>
        <w:sectPr w:rsidR="00A706BB">
          <w:headerReference w:type="default" r:id="rId7"/>
          <w:footerReference w:type="default" r:id="rId8"/>
          <w:type w:val="continuous"/>
          <w:pgSz w:w="12240" w:h="15840"/>
          <w:pgMar w:top="1340" w:right="1320" w:bottom="1340" w:left="1340" w:header="733" w:footer="1150" w:gutter="0"/>
          <w:pgNumType w:start="1"/>
          <w:cols w:space="720"/>
        </w:sectPr>
      </w:pPr>
    </w:p>
    <w:p w14:paraId="6F886AD1" w14:textId="77777777" w:rsidR="00A706BB" w:rsidRDefault="00000000">
      <w:pPr>
        <w:pStyle w:val="BodyText"/>
        <w:spacing w:before="80"/>
        <w:ind w:right="123"/>
        <w:jc w:val="both"/>
      </w:pPr>
      <w:r>
        <w:lastRenderedPageBreak/>
        <w:t xml:space="preserve">Various steps will be taken in the maintenance of teaching, learning and work equipment and systems </w:t>
      </w:r>
      <w:proofErr w:type="gramStart"/>
      <w:r>
        <w:t>in order to</w:t>
      </w:r>
      <w:proofErr w:type="gramEnd"/>
      <w:r>
        <w:t xml:space="preserve"> ensure the safety of such items.</w:t>
      </w:r>
    </w:p>
    <w:p w14:paraId="5F76B422" w14:textId="77777777" w:rsidR="00A706BB" w:rsidRDefault="00000000">
      <w:pPr>
        <w:pStyle w:val="BodyText"/>
        <w:spacing w:before="199"/>
        <w:ind w:right="125"/>
        <w:jc w:val="both"/>
      </w:pPr>
      <w:r>
        <w:t xml:space="preserve">Adequate and appropriate information, instruction, </w:t>
      </w:r>
      <w:proofErr w:type="gramStart"/>
      <w:r>
        <w:t>training</w:t>
      </w:r>
      <w:proofErr w:type="gramEnd"/>
      <w:r>
        <w:t xml:space="preserve"> and supervision will be provided to enable all employees, students and visitors to avoid hazards at work and also to contribute positively to the health and safety environment.</w:t>
      </w:r>
    </w:p>
    <w:p w14:paraId="67E95EE1" w14:textId="77777777" w:rsidR="00A706BB" w:rsidRDefault="00000000">
      <w:pPr>
        <w:pStyle w:val="BodyText"/>
        <w:spacing w:before="202"/>
        <w:ind w:right="121"/>
        <w:jc w:val="both"/>
      </w:pPr>
      <w:r>
        <w:t xml:space="preserve">The UK College of Business always </w:t>
      </w:r>
      <w:proofErr w:type="gramStart"/>
      <w:r>
        <w:t>make</w:t>
      </w:r>
      <w:proofErr w:type="gramEnd"/>
      <w:r>
        <w:t xml:space="preserve"> safe arrangements when using resources and will ensure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precautions are</w:t>
      </w:r>
      <w:r>
        <w:rPr>
          <w:spacing w:val="-2"/>
        </w:rPr>
        <w:t xml:space="preserve"> </w:t>
      </w:r>
      <w:r>
        <w:t>taken in the</w:t>
      </w:r>
      <w:r>
        <w:rPr>
          <w:spacing w:val="-1"/>
        </w:rPr>
        <w:t xml:space="preserve"> </w:t>
      </w:r>
      <w:r>
        <w:t>handling and in the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resources.</w:t>
      </w:r>
      <w:r>
        <w:rPr>
          <w:spacing w:val="40"/>
        </w:rPr>
        <w:t xml:space="preserve"> </w:t>
      </w:r>
      <w:r>
        <w:t xml:space="preserve">At all times </w:t>
      </w:r>
      <w:proofErr w:type="gramStart"/>
      <w:r>
        <w:t>each individual</w:t>
      </w:r>
      <w:proofErr w:type="gramEnd"/>
      <w:r>
        <w:t xml:space="preserve"> should check his / her environment thoroughly to ensure</w:t>
      </w:r>
      <w:r>
        <w:rPr>
          <w:spacing w:val="-1"/>
        </w:rPr>
        <w:t xml:space="preserve"> </w:t>
      </w:r>
      <w:r>
        <w:t xml:space="preserve">safety and also to allow access to them </w:t>
      </w:r>
      <w:proofErr w:type="gramStart"/>
      <w:r>
        <w:t>by</w:t>
      </w:r>
      <w:proofErr w:type="gramEnd"/>
      <w:r>
        <w:t xml:space="preserve"> others within the College.</w:t>
      </w:r>
    </w:p>
    <w:p w14:paraId="7EE9D878" w14:textId="77777777" w:rsidR="00A706BB" w:rsidRDefault="00000000">
      <w:pPr>
        <w:pStyle w:val="BodyText"/>
        <w:spacing w:before="199"/>
        <w:ind w:right="120"/>
        <w:jc w:val="both"/>
      </w:pPr>
      <w:r>
        <w:t>According to the Employer’s and Public liability insurance (Compulsory Insurance) 1969 Act,</w:t>
      </w:r>
      <w:r>
        <w:rPr>
          <w:spacing w:val="40"/>
        </w:rPr>
        <w:t xml:space="preserve"> </w:t>
      </w:r>
      <w:r>
        <w:t xml:space="preserve">all employees, </w:t>
      </w:r>
      <w:proofErr w:type="gramStart"/>
      <w:r>
        <w:t>students</w:t>
      </w:r>
      <w:proofErr w:type="gramEnd"/>
      <w:r>
        <w:t xml:space="preserve"> and visitors are insured. Any employee or student or visitor who suffers injury </w:t>
      </w:r>
      <w:proofErr w:type="gramStart"/>
      <w:r>
        <w:t>in the course of</w:t>
      </w:r>
      <w:proofErr w:type="gramEnd"/>
      <w:r>
        <w:t xml:space="preserve"> their presence </w:t>
      </w:r>
      <w:proofErr w:type="gramStart"/>
      <w:r>
        <w:t>within</w:t>
      </w:r>
      <w:proofErr w:type="gramEnd"/>
      <w:r>
        <w:t xml:space="preserve"> the college premises should immediately notify the Principal and Director and all details of any injury should be recorded in the Accident Report </w:t>
      </w:r>
      <w:r>
        <w:rPr>
          <w:spacing w:val="-2"/>
        </w:rPr>
        <w:t>Book.</w:t>
      </w:r>
    </w:p>
    <w:p w14:paraId="6C2261A9" w14:textId="77777777" w:rsidR="00A706BB" w:rsidRDefault="00000000">
      <w:pPr>
        <w:pStyle w:val="BodyText"/>
        <w:spacing w:before="200"/>
        <w:ind w:right="118"/>
        <w:jc w:val="both"/>
      </w:pPr>
      <w:r>
        <w:t xml:space="preserve">All Fire Exits will be marked in bright </w:t>
      </w:r>
      <w:proofErr w:type="spellStart"/>
      <w:r>
        <w:t>colours</w:t>
      </w:r>
      <w:proofErr w:type="spellEnd"/>
      <w:r>
        <w:t xml:space="preserve"> (green) and every individual in the building will know and understand the procedures exiting the building in case of fire. All are notified of the assembly point in </w:t>
      </w:r>
      <w:proofErr w:type="gramStart"/>
      <w:r>
        <w:t>the case</w:t>
      </w:r>
      <w:proofErr w:type="gramEnd"/>
      <w:r>
        <w:t xml:space="preserve"> of a fire.</w:t>
      </w:r>
    </w:p>
    <w:p w14:paraId="7E098A26" w14:textId="77777777" w:rsidR="00A706BB" w:rsidRDefault="00000000">
      <w:pPr>
        <w:pStyle w:val="BodyText"/>
        <w:spacing w:before="199"/>
      </w:pPr>
      <w:r>
        <w:t>The</w:t>
      </w:r>
      <w:r>
        <w:rPr>
          <w:spacing w:val="80"/>
        </w:rPr>
        <w:t xml:space="preserve"> </w:t>
      </w:r>
      <w:r>
        <w:t>Health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Safety</w:t>
      </w:r>
      <w:r>
        <w:rPr>
          <w:spacing w:val="80"/>
        </w:rPr>
        <w:t xml:space="preserve"> </w:t>
      </w:r>
      <w:r>
        <w:t>Law</w:t>
      </w:r>
      <w:r>
        <w:rPr>
          <w:spacing w:val="80"/>
        </w:rPr>
        <w:t xml:space="preserve"> </w:t>
      </w:r>
      <w:r>
        <w:t>posters</w:t>
      </w:r>
      <w:r>
        <w:rPr>
          <w:spacing w:val="80"/>
        </w:rPr>
        <w:t xml:space="preserve"> </w:t>
      </w:r>
      <w:r>
        <w:t>are</w:t>
      </w:r>
      <w:r>
        <w:rPr>
          <w:spacing w:val="80"/>
        </w:rPr>
        <w:t xml:space="preserve"> </w:t>
      </w:r>
      <w:r>
        <w:t>displayed</w:t>
      </w:r>
      <w:r>
        <w:rPr>
          <w:spacing w:val="80"/>
        </w:rPr>
        <w:t xml:space="preserve"> </w:t>
      </w:r>
      <w:r>
        <w:t>throughout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College,</w:t>
      </w:r>
      <w:r>
        <w:rPr>
          <w:spacing w:val="80"/>
        </w:rPr>
        <w:t xml:space="preserve"> </w:t>
      </w:r>
      <w:r>
        <w:t>including</w:t>
      </w:r>
      <w:r>
        <w:rPr>
          <w:spacing w:val="80"/>
        </w:rPr>
        <w:t xml:space="preserve"> </w:t>
      </w:r>
      <w:r>
        <w:t xml:space="preserve">all </w:t>
      </w:r>
      <w:r>
        <w:rPr>
          <w:spacing w:val="-2"/>
        </w:rPr>
        <w:t>classrooms.</w:t>
      </w:r>
    </w:p>
    <w:p w14:paraId="4F05DA73" w14:textId="77777777" w:rsidR="00A706BB" w:rsidRDefault="00000000">
      <w:pPr>
        <w:pStyle w:val="BodyText"/>
        <w:spacing w:before="202" w:line="412" w:lineRule="auto"/>
        <w:ind w:right="2225"/>
      </w:pP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Director. Health and Safety advice is also available from:</w:t>
      </w:r>
    </w:p>
    <w:p w14:paraId="2E9A575A" w14:textId="77777777" w:rsidR="00A706BB" w:rsidRDefault="00000000">
      <w:pPr>
        <w:pStyle w:val="BodyText"/>
        <w:spacing w:before="1"/>
      </w:pP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Line:</w:t>
      </w:r>
      <w:r>
        <w:rPr>
          <w:spacing w:val="-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0800</w:t>
      </w:r>
      <w:r>
        <w:rPr>
          <w:spacing w:val="-2"/>
        </w:rPr>
        <w:t xml:space="preserve"> </w:t>
      </w:r>
      <w:r>
        <w:t>665</w:t>
      </w:r>
      <w:r>
        <w:rPr>
          <w:spacing w:val="-1"/>
        </w:rPr>
        <w:t xml:space="preserve"> </w:t>
      </w:r>
      <w:r>
        <w:rPr>
          <w:spacing w:val="-5"/>
        </w:rPr>
        <w:t>544</w:t>
      </w:r>
    </w:p>
    <w:p w14:paraId="7215EEE9" w14:textId="77777777" w:rsidR="00A706BB" w:rsidRDefault="00000000">
      <w:pPr>
        <w:pStyle w:val="BodyText"/>
        <w:spacing w:before="202"/>
      </w:pPr>
      <w:r>
        <w:t>The</w:t>
      </w:r>
      <w:r>
        <w:rPr>
          <w:spacing w:val="29"/>
        </w:rPr>
        <w:t xml:space="preserve"> </w:t>
      </w:r>
      <w:proofErr w:type="gramStart"/>
      <w:r>
        <w:t>Principal</w:t>
      </w:r>
      <w:proofErr w:type="gramEnd"/>
      <w:r>
        <w:rPr>
          <w:spacing w:val="3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responsible</w:t>
      </w:r>
      <w:r>
        <w:rPr>
          <w:spacing w:val="29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ensuring</w:t>
      </w:r>
      <w:r>
        <w:rPr>
          <w:spacing w:val="30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employees’</w:t>
      </w:r>
      <w:r>
        <w:rPr>
          <w:spacing w:val="32"/>
        </w:rPr>
        <w:t xml:space="preserve"> </w:t>
      </w:r>
      <w:r>
        <w:t>working</w:t>
      </w:r>
      <w:r>
        <w:rPr>
          <w:spacing w:val="30"/>
        </w:rPr>
        <w:t xml:space="preserve"> </w:t>
      </w:r>
      <w:r>
        <w:t>locations</w:t>
      </w:r>
      <w:r>
        <w:rPr>
          <w:spacing w:val="30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 xml:space="preserve">under </w:t>
      </w:r>
      <w:proofErr w:type="gramStart"/>
      <w:r>
        <w:t>control</w:t>
      </w:r>
      <w:proofErr w:type="gramEnd"/>
      <w:r>
        <w:t xml:space="preserve"> their employers, are given relevant health and safety information.</w:t>
      </w:r>
    </w:p>
    <w:p w14:paraId="4E7B4AF8" w14:textId="77777777" w:rsidR="00A706BB" w:rsidRDefault="00000000">
      <w:pPr>
        <w:pStyle w:val="BodyText"/>
        <w:spacing w:before="199"/>
      </w:pPr>
      <w:r>
        <w:t>Induction</w:t>
      </w:r>
      <w:r>
        <w:rPr>
          <w:spacing w:val="36"/>
        </w:rPr>
        <w:t xml:space="preserve"> </w:t>
      </w:r>
      <w:r>
        <w:t>training</w:t>
      </w:r>
      <w:r>
        <w:rPr>
          <w:spacing w:val="36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provided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employees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gramStart"/>
      <w:r>
        <w:t>Principal</w:t>
      </w:r>
      <w:proofErr w:type="gramEnd"/>
      <w:r>
        <w:t>.</w:t>
      </w:r>
      <w:r>
        <w:rPr>
          <w:spacing w:val="40"/>
        </w:rPr>
        <w:t xml:space="preserve"> </w:t>
      </w:r>
      <w:r>
        <w:t>Training</w:t>
      </w:r>
      <w:r>
        <w:rPr>
          <w:spacing w:val="3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 xml:space="preserve">be identified, </w:t>
      </w:r>
      <w:proofErr w:type="gramStart"/>
      <w:r>
        <w:t>arranged</w:t>
      </w:r>
      <w:proofErr w:type="gramEnd"/>
      <w:r>
        <w:t xml:space="preserve"> and monitored by Principal.</w:t>
      </w:r>
    </w:p>
    <w:p w14:paraId="6AF7DC57" w14:textId="77777777" w:rsidR="00A706BB" w:rsidRDefault="00000000">
      <w:pPr>
        <w:spacing w:before="201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14:paraId="41CCE40D" w14:textId="77777777" w:rsidR="00A706BB" w:rsidRDefault="00000000">
      <w:pPr>
        <w:pStyle w:val="BodyText"/>
        <w:spacing w:before="43"/>
      </w:pPr>
      <w:r>
        <w:t>The</w:t>
      </w:r>
      <w:r>
        <w:rPr>
          <w:spacing w:val="18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aid</w:t>
      </w:r>
      <w:r>
        <w:rPr>
          <w:spacing w:val="19"/>
        </w:rPr>
        <w:t xml:space="preserve"> </w:t>
      </w:r>
      <w:r>
        <w:t>boxes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kept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Admin</w:t>
      </w:r>
      <w:r>
        <w:rPr>
          <w:spacing w:val="1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 Reception</w:t>
      </w:r>
      <w:r>
        <w:rPr>
          <w:spacing w:val="18"/>
        </w:rPr>
        <w:t xml:space="preserve"> </w:t>
      </w:r>
      <w:r>
        <w:t>Area.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appointed</w:t>
      </w:r>
      <w:r>
        <w:rPr>
          <w:spacing w:val="21"/>
        </w:rPr>
        <w:t xml:space="preserve"> </w:t>
      </w:r>
      <w:r>
        <w:t>First- Aider is Student Welfare Officer.</w:t>
      </w:r>
    </w:p>
    <w:p w14:paraId="6C5596AB" w14:textId="77777777" w:rsidR="00A706BB" w:rsidRDefault="00000000">
      <w:pPr>
        <w:pStyle w:val="BodyText"/>
        <w:spacing w:before="200"/>
        <w:ind w:right="121"/>
        <w:jc w:val="both"/>
      </w:pPr>
      <w:r>
        <w:t xml:space="preserve">All accidents and cases of work-related ill health are to be recorded in the accident book. The book is kept </w:t>
      </w:r>
      <w:proofErr w:type="gramStart"/>
      <w:r>
        <w:t>at</w:t>
      </w:r>
      <w:proofErr w:type="gramEnd"/>
      <w:r>
        <w:t xml:space="preserve"> the </w:t>
      </w:r>
      <w:proofErr w:type="gramStart"/>
      <w:r>
        <w:t>Reception</w:t>
      </w:r>
      <w:proofErr w:type="gramEnd"/>
      <w:r>
        <w:t xml:space="preserve"> area. The Student Welfare Officer is responsible for reporting accidents, diseases and dangerous occurrences which </w:t>
      </w:r>
      <w:proofErr w:type="gramStart"/>
      <w:r>
        <w:t>reported</w:t>
      </w:r>
      <w:proofErr w:type="gramEnd"/>
      <w:r>
        <w:t xml:space="preserve"> to the enforcing authority.</w:t>
      </w:r>
    </w:p>
    <w:p w14:paraId="2A82170F" w14:textId="77777777" w:rsidR="00A706BB" w:rsidRDefault="00000000">
      <w:pPr>
        <w:pStyle w:val="BodyText"/>
        <w:spacing w:before="201"/>
        <w:ind w:right="158"/>
      </w:pPr>
      <w:r>
        <w:t>Alarms,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Extinguishers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 xml:space="preserve">/ tested by </w:t>
      </w:r>
      <w:proofErr w:type="gramStart"/>
      <w:r>
        <w:t>Managing</w:t>
      </w:r>
      <w:proofErr w:type="gramEnd"/>
      <w:r>
        <w:t xml:space="preserve"> Director.</w:t>
      </w:r>
    </w:p>
    <w:p w14:paraId="5BBB5484" w14:textId="77777777" w:rsidR="00A706BB" w:rsidRDefault="00000000">
      <w:pPr>
        <w:pStyle w:val="BodyText"/>
        <w:spacing w:before="200"/>
      </w:pPr>
      <w:r>
        <w:t>This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building clearly.</w:t>
      </w:r>
    </w:p>
    <w:p w14:paraId="3CA64364" w14:textId="77777777" w:rsidR="00A706BB" w:rsidRDefault="00A706BB">
      <w:pPr>
        <w:sectPr w:rsidR="00A706BB">
          <w:pgSz w:w="12240" w:h="15840"/>
          <w:pgMar w:top="1340" w:right="1320" w:bottom="1340" w:left="1340" w:header="733" w:footer="1150" w:gutter="0"/>
          <w:cols w:space="720"/>
        </w:sectPr>
      </w:pPr>
    </w:p>
    <w:p w14:paraId="51741B55" w14:textId="77777777" w:rsidR="00A706BB" w:rsidRDefault="00A706BB">
      <w:pPr>
        <w:pStyle w:val="BodyText"/>
        <w:ind w:left="0"/>
        <w:rPr>
          <w:sz w:val="20"/>
        </w:rPr>
      </w:pPr>
    </w:p>
    <w:p w14:paraId="6E497B12" w14:textId="77777777" w:rsidR="00A706BB" w:rsidRDefault="00A706BB">
      <w:pPr>
        <w:pStyle w:val="BodyText"/>
        <w:spacing w:before="5"/>
        <w:ind w:left="0"/>
        <w:rPr>
          <w:sz w:val="20"/>
        </w:rPr>
      </w:pPr>
    </w:p>
    <w:p w14:paraId="140350A9" w14:textId="77777777" w:rsidR="00A706BB" w:rsidRDefault="00000000">
      <w:pPr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SMOKING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ALCOHOL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TOTALLY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PROHIBITED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PART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THE </w:t>
      </w:r>
      <w:r>
        <w:rPr>
          <w:b/>
          <w:i/>
          <w:spacing w:val="-2"/>
          <w:sz w:val="24"/>
        </w:rPr>
        <w:t>PREMISES</w:t>
      </w:r>
    </w:p>
    <w:p w14:paraId="5E3A2541" w14:textId="77777777" w:rsidR="00A706BB" w:rsidRDefault="00A706BB">
      <w:pPr>
        <w:pStyle w:val="BodyText"/>
        <w:ind w:left="0"/>
        <w:rPr>
          <w:b/>
          <w:i/>
          <w:sz w:val="26"/>
        </w:rPr>
      </w:pPr>
    </w:p>
    <w:p w14:paraId="77B421DA" w14:textId="77777777" w:rsidR="00A706BB" w:rsidRDefault="00A706BB">
      <w:pPr>
        <w:pStyle w:val="BodyText"/>
        <w:spacing w:before="10"/>
        <w:ind w:left="0"/>
        <w:rPr>
          <w:b/>
          <w:i/>
          <w:sz w:val="32"/>
        </w:rPr>
      </w:pPr>
    </w:p>
    <w:p w14:paraId="54838FF8" w14:textId="77777777" w:rsidR="00A706BB" w:rsidRDefault="00000000">
      <w:pPr>
        <w:ind w:left="100"/>
        <w:rPr>
          <w:i/>
          <w:sz w:val="24"/>
        </w:rPr>
      </w:pPr>
      <w:r>
        <w:rPr>
          <w:i/>
          <w:sz w:val="24"/>
        </w:rPr>
        <w:t>(This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modified)</w:t>
      </w:r>
    </w:p>
    <w:p w14:paraId="56370CF6" w14:textId="77777777" w:rsidR="00A706BB" w:rsidRDefault="00A706BB">
      <w:pPr>
        <w:pStyle w:val="BodyText"/>
        <w:ind w:left="0"/>
        <w:rPr>
          <w:i/>
          <w:sz w:val="26"/>
        </w:rPr>
      </w:pPr>
    </w:p>
    <w:p w14:paraId="18F91A7A" w14:textId="77777777" w:rsidR="00A706BB" w:rsidRDefault="00A706BB">
      <w:pPr>
        <w:pStyle w:val="BodyText"/>
        <w:spacing w:before="10"/>
        <w:ind w:left="0"/>
        <w:rPr>
          <w:i/>
          <w:sz w:val="32"/>
        </w:rPr>
      </w:pPr>
    </w:p>
    <w:p w14:paraId="27797D62" w14:textId="77777777" w:rsidR="00A706BB" w:rsidRDefault="00000000">
      <w:pPr>
        <w:pStyle w:val="BodyText"/>
      </w:pP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Safety</w:t>
      </w:r>
    </w:p>
    <w:p w14:paraId="7ACBE1E1" w14:textId="77777777" w:rsidR="00A706BB" w:rsidRDefault="00A706BB">
      <w:pPr>
        <w:pStyle w:val="BodyText"/>
        <w:ind w:left="0"/>
        <w:rPr>
          <w:sz w:val="26"/>
        </w:rPr>
      </w:pPr>
    </w:p>
    <w:p w14:paraId="7AA5674D" w14:textId="77777777" w:rsidR="00A706BB" w:rsidRDefault="00A706BB">
      <w:pPr>
        <w:pStyle w:val="BodyText"/>
        <w:spacing w:before="8"/>
        <w:ind w:left="0"/>
        <w:rPr>
          <w:sz w:val="32"/>
        </w:rPr>
      </w:pPr>
    </w:p>
    <w:p w14:paraId="3678EAD6" w14:textId="77777777" w:rsidR="00A706BB" w:rsidRDefault="00000000">
      <w:pPr>
        <w:pStyle w:val="Heading1"/>
        <w:tabs>
          <w:tab w:val="left" w:pos="3283"/>
        </w:tabs>
      </w:pPr>
      <w:r>
        <w:t>Fire</w:t>
      </w:r>
      <w:r>
        <w:rPr>
          <w:spacing w:val="-6"/>
        </w:rPr>
        <w:t xml:space="preserve"> </w:t>
      </w:r>
      <w:r>
        <w:t>Marshall/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Aider:</w:t>
      </w:r>
      <w:r>
        <w:tab/>
      </w:r>
      <w:proofErr w:type="spellStart"/>
      <w:r>
        <w:rPr>
          <w:spacing w:val="-2"/>
        </w:rPr>
        <w:t>A.</w:t>
      </w:r>
      <w:proofErr w:type="gramStart"/>
      <w:r>
        <w:rPr>
          <w:spacing w:val="-2"/>
        </w:rPr>
        <w:t>M.Khan</w:t>
      </w:r>
      <w:proofErr w:type="spellEnd"/>
      <w:proofErr w:type="gramEnd"/>
    </w:p>
    <w:p w14:paraId="57D5E2F1" w14:textId="77777777" w:rsidR="00A706BB" w:rsidRDefault="00A706BB">
      <w:pPr>
        <w:pStyle w:val="BodyText"/>
        <w:ind w:left="0"/>
        <w:rPr>
          <w:b/>
          <w:sz w:val="26"/>
        </w:rPr>
      </w:pPr>
    </w:p>
    <w:p w14:paraId="4370112A" w14:textId="77777777" w:rsidR="00A706BB" w:rsidRDefault="00A706BB">
      <w:pPr>
        <w:pStyle w:val="BodyText"/>
        <w:ind w:left="0"/>
        <w:rPr>
          <w:b/>
          <w:sz w:val="26"/>
        </w:rPr>
      </w:pPr>
    </w:p>
    <w:p w14:paraId="3D4F5B63" w14:textId="77777777" w:rsidR="00A706BB" w:rsidRDefault="00A706BB">
      <w:pPr>
        <w:pStyle w:val="BodyText"/>
        <w:ind w:left="0"/>
        <w:rPr>
          <w:b/>
          <w:sz w:val="26"/>
        </w:rPr>
      </w:pPr>
    </w:p>
    <w:p w14:paraId="2871CAB8" w14:textId="7CC15E8C" w:rsidR="00A706BB" w:rsidRDefault="00000000">
      <w:pPr>
        <w:spacing w:before="211"/>
        <w:ind w:left="100"/>
        <w:rPr>
          <w:b/>
        </w:rPr>
      </w:pP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1"/>
        </w:rPr>
        <w:t xml:space="preserve"> </w:t>
      </w:r>
      <w:r>
        <w:rPr>
          <w:b/>
        </w:rPr>
        <w:t>January</w:t>
      </w:r>
      <w:r>
        <w:rPr>
          <w:b/>
          <w:spacing w:val="1"/>
        </w:rPr>
        <w:t xml:space="preserve"> </w:t>
      </w:r>
      <w:r>
        <w:rPr>
          <w:b/>
          <w:spacing w:val="-4"/>
        </w:rPr>
        <w:t>202</w:t>
      </w:r>
      <w:r w:rsidR="00A53FC0">
        <w:rPr>
          <w:b/>
          <w:spacing w:val="-4"/>
        </w:rPr>
        <w:t>4</w:t>
      </w:r>
    </w:p>
    <w:sectPr w:rsidR="00A706BB">
      <w:pgSz w:w="12240" w:h="15840"/>
      <w:pgMar w:top="1340" w:right="1320" w:bottom="1340" w:left="1340" w:header="733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DF7B" w14:textId="77777777" w:rsidR="00AE11A6" w:rsidRDefault="00AE11A6">
      <w:r>
        <w:separator/>
      </w:r>
    </w:p>
  </w:endnote>
  <w:endnote w:type="continuationSeparator" w:id="0">
    <w:p w14:paraId="18B19793" w14:textId="77777777" w:rsidR="00AE11A6" w:rsidRDefault="00AE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7FA5" w14:textId="77777777" w:rsidR="00A706BB" w:rsidRDefault="00000000">
    <w:pPr>
      <w:pStyle w:val="BodyText"/>
      <w:spacing w:line="14" w:lineRule="auto"/>
      <w:ind w:left="0"/>
      <w:rPr>
        <w:sz w:val="20"/>
      </w:rPr>
    </w:pPr>
    <w:r>
      <w:pict w14:anchorId="1CEAA87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6.65pt;margin-top:723.5pt;width:41pt;height:17.55pt;z-index:-15782400;mso-position-horizontal-relative:page;mso-position-vertical-relative:page" filled="f" stroked="f">
          <v:textbox inset="0,0,0,0">
            <w:txbxContent>
              <w:p w14:paraId="5596A34F" w14:textId="77777777" w:rsidR="00A706BB" w:rsidRDefault="00000000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pacing w:val="-4"/>
                    <w:sz w:val="28"/>
                  </w:rPr>
                  <w:t>UKCB</w:t>
                </w:r>
              </w:p>
            </w:txbxContent>
          </v:textbox>
          <w10:wrap anchorx="page" anchory="page"/>
        </v:shape>
      </w:pict>
    </w:r>
    <w:r>
      <w:pict w14:anchorId="714E2EE1">
        <v:shape id="docshape3" o:spid="_x0000_s1026" type="#_x0000_t202" style="position:absolute;margin-left:292pt;margin-top:723.5pt;width:14.05pt;height:17.55pt;z-index:-15781888;mso-position-horizontal-relative:page;mso-position-vertical-relative:page" filled="f" stroked="f">
          <v:textbox inset="0,0,0,0">
            <w:txbxContent>
              <w:p w14:paraId="22BF975A" w14:textId="77777777" w:rsidR="00A706BB" w:rsidRDefault="00000000">
                <w:pPr>
                  <w:spacing w:before="9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69506B">
        <v:shape id="docshape4" o:spid="_x0000_s1025" type="#_x0000_t202" style="position:absolute;margin-left:454.9pt;margin-top:723.5pt;width:77.25pt;height:17.55pt;z-index:-15781376;mso-position-horizontal-relative:page;mso-position-vertical-relative:page" filled="f" stroked="f">
          <v:textbox inset="0,0,0,0">
            <w:txbxContent>
              <w:p w14:paraId="3CF82DA1" w14:textId="08CBD234" w:rsidR="00A706BB" w:rsidRDefault="00000000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January</w:t>
                </w:r>
                <w:r>
                  <w:rPr>
                    <w:spacing w:val="-6"/>
                    <w:sz w:val="28"/>
                  </w:rPr>
                  <w:t xml:space="preserve"> </w:t>
                </w:r>
                <w:r>
                  <w:rPr>
                    <w:spacing w:val="-4"/>
                    <w:sz w:val="28"/>
                  </w:rPr>
                  <w:t>202</w:t>
                </w:r>
                <w:r w:rsidR="00A53FC0">
                  <w:rPr>
                    <w:spacing w:val="-4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9794" w14:textId="77777777" w:rsidR="00AE11A6" w:rsidRDefault="00AE11A6">
      <w:r>
        <w:separator/>
      </w:r>
    </w:p>
  </w:footnote>
  <w:footnote w:type="continuationSeparator" w:id="0">
    <w:p w14:paraId="1F783DE4" w14:textId="77777777" w:rsidR="00AE11A6" w:rsidRDefault="00AE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921" w14:textId="77777777" w:rsidR="00A706BB" w:rsidRDefault="00000000">
    <w:pPr>
      <w:pStyle w:val="BodyText"/>
      <w:spacing w:line="14" w:lineRule="auto"/>
      <w:ind w:left="0"/>
      <w:rPr>
        <w:sz w:val="20"/>
      </w:rPr>
    </w:pPr>
    <w:r>
      <w:pict w14:anchorId="5B1A598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97.6pt;margin-top:35.65pt;width:216.45pt;height:19.7pt;z-index:-15782912;mso-position-horizontal-relative:page;mso-position-vertical-relative:page" filled="f" stroked="f">
          <v:textbox inset="0,0,0,0">
            <w:txbxContent>
              <w:p w14:paraId="663EFB40" w14:textId="77777777" w:rsidR="00A706BB" w:rsidRDefault="0000000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UK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COLLEGE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OF</w:t>
                </w:r>
                <w:r>
                  <w:rPr>
                    <w:b/>
                    <w:spacing w:val="-9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BUSINESS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FF1"/>
    <w:multiLevelType w:val="hybridMultilevel"/>
    <w:tmpl w:val="8214A9BE"/>
    <w:lvl w:ilvl="0" w:tplc="8222C212">
      <w:start w:val="1"/>
      <w:numFmt w:val="decimal"/>
      <w:lvlText w:val="%1)"/>
      <w:lvlJc w:val="left"/>
      <w:pPr>
        <w:ind w:left="154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200C48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CD5AA43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DA27ED8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AFC25428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E0B411E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4F45152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1808304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EF9CF4B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 w16cid:durableId="166212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6BB"/>
    <w:rsid w:val="00A53FC0"/>
    <w:rsid w:val="00A706BB"/>
    <w:rsid w:val="00A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53C30"/>
  <w15:docId w15:val="{0656DBA7-7A1E-49C3-83BF-BEE432C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Khan</dc:creator>
  <cp:lastModifiedBy>Haknazar P</cp:lastModifiedBy>
  <cp:revision>3</cp:revision>
  <dcterms:created xsi:type="dcterms:W3CDTF">2023-04-25T19:58:00Z</dcterms:created>
  <dcterms:modified xsi:type="dcterms:W3CDTF">2023-04-25T19:58:00Z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Office 365</vt:lpwstr>
  </property>
</Properties>
</file>